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Индукционная система для слабослышащих портативная Dstrana Move-2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https://dostupnaya-strana.ru/products/induktsionnaya-sistema-dlya-slaboslyshaschikh-portativnaya-dstrana-move-2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Индукционная система для слабослышащих портативная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 </w:t>
            </w:r>
          </w:p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телефонной индукционной катушки)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 т.п.): наличие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передающее устройство при общении посетителя (инвалида по слуху) с персоналом учреждения: наличие</w:t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Возможность подключения внешнего электретного микрофона в разъем Jack 3.5 мм.: наличие</w:t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Зона действия, м: не менее 2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Встроенный микрофон: наличие</w:t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Напряжение питания 220 В, 50-60 Гц (±5%): наличие</w:t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Потребляемая мощность, Вт: не менее 40</w:t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для зарядки (использовать только оригинальное з/у): наличие</w:t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для подключения электретного микрофона или аудио аппаратуры (Jack 3.5 мм): наличие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Световой индикатор вкл./выкл.: наличие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Кнопка вкл./выкл.: наличие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Материал корпуса: ABS ударопрочный пластик</w:t>
            </w:r>
          </w:p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Встроенный АКБ: наличие</w:t>
            </w:r>
          </w:p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Работа устройства в автономном режиме, час: не менее 5</w:t>
            </w:r>
          </w:p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Радиус приёма встроенного микрофона, м: не более 2</w:t>
            </w:r>
          </w:p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Частотный диапазон, Гц: от 100 до 8000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Размеры, мм: не менее 260х180х65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Вес, кг: не менее 1</w:t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Условия эксплуатации: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температура, градус С: от плюс 10 до плюс 35,</w:t>
            </w:r>
          </w:p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относительная влажность воздуха, %: от 30 до 93,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атмосферное давление, кПа: от 70 до 106.</w:t>
            </w:r>
          </w:p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 поставки:</w:t>
            </w:r>
          </w:p>
          <w:p w:rsidR="00000000" w:rsidDel="00000000" w:rsidP="00000000" w:rsidRDefault="00000000" w:rsidRPr="00000000" w14:paraId="0000002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Индукционная система, шт: не менее 1</w:t>
            </w:r>
          </w:p>
          <w:p w:rsidR="00000000" w:rsidDel="00000000" w:rsidP="00000000" w:rsidRDefault="00000000" w:rsidRPr="00000000" w14:paraId="0000002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Блок питания, шт: не менее 1</w:t>
            </w:r>
          </w:p>
          <w:p w:rsidR="00000000" w:rsidDel="00000000" w:rsidP="00000000" w:rsidRDefault="00000000" w:rsidRPr="00000000" w14:paraId="0000002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Руководство по эксплуатации/Паспорт, шт: не менее 1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20" w:before="2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Упаковка, шт: не менее 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3403600</wp:posOffset>
              </wp:positionH>
              <wp:positionV relativeFrom="paragraph">
                <wp:posOffset>-68579</wp:posOffset>
              </wp:positionV>
              <wp:extent cx="2660015" cy="422275"/>
              <wp:effectExtent b="0" l="0" r="0" t="0"/>
              <wp:wrapSquare wrapText="bothSides" distB="45720" distT="4572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3403600</wp:posOffset>
              </wp:positionH>
              <wp:positionV relativeFrom="paragraph">
                <wp:posOffset>-68579</wp:posOffset>
              </wp:positionV>
              <wp:extent cx="2660015" cy="422275"/>
              <wp:effectExtent b="0" l="0" r="0" t="0"/>
              <wp:wrapSquare wrapText="bothSides" distB="45720" distT="45720" distL="114300" distR="11430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0015" cy="422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-175891</wp:posOffset>
          </wp:positionV>
          <wp:extent cx="1749425" cy="546735"/>
          <wp:effectExtent b="0" l="0" r="0" t="0"/>
          <wp:wrapNone/>
          <wp:docPr descr="Dostupnaya-Strana.ru" id="10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induktsionnaya-sistema-dlya-slaboslyshaschikh-portativnaya-dstrana-move-2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e0sDH634BwQNSmdb5N9Es5aMQ==">CgMxLjA4AHIhMUdsZUdGRFJxSGJmV21VREl6dFVndGExdG9WRWYtYkh0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